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9D7C47" w:rsidRPr="00E31856" w:rsidTr="003774C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D7C47" w:rsidRPr="00E31856" w:rsidRDefault="009D7C4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Europski monetarni sustav</w:t>
            </w:r>
          </w:p>
        </w:tc>
      </w:tr>
      <w:tr w:rsidR="009D7C47" w:rsidRPr="00E31856" w:rsidTr="003774C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Style w:val="Naglaeno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EUE404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Prof.dr.sc. Mario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:rsidR="008F3602" w:rsidRPr="008F3602" w:rsidRDefault="008F3602" w:rsidP="003774C4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3602">
              <w:rPr>
                <w:rFonts w:ascii="Arial" w:hAnsi="Arial" w:cs="Arial"/>
                <w:color w:val="FF0000"/>
                <w:sz w:val="20"/>
                <w:szCs w:val="20"/>
              </w:rPr>
              <w:t>Izv. prof. dr. sc. Roberto Ercegovac</w:t>
            </w:r>
          </w:p>
          <w:p w:rsidR="009D7C47" w:rsidRPr="00E31856" w:rsidRDefault="008F3602" w:rsidP="008F36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color w:val="FF0000"/>
                <w:sz w:val="20"/>
                <w:szCs w:val="20"/>
              </w:rPr>
              <w:t>Izv. prof. dr.</w:t>
            </w:r>
            <w:r w:rsidR="009D7C47" w:rsidRPr="008F3602">
              <w:rPr>
                <w:rFonts w:ascii="Arial" w:hAnsi="Arial" w:cs="Arial"/>
                <w:color w:val="FF0000"/>
                <w:sz w:val="20"/>
                <w:szCs w:val="20"/>
              </w:rPr>
              <w:t xml:space="preserve"> sc.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D7C47" w:rsidRPr="00E31856" w:rsidTr="003774C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602" w:rsidRPr="00E31856" w:rsidRDefault="008F3602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color w:val="FF0000"/>
                <w:sz w:val="20"/>
                <w:szCs w:val="20"/>
              </w:rPr>
              <w:t xml:space="preserve">Ante </w:t>
            </w:r>
            <w:proofErr w:type="spellStart"/>
            <w:r w:rsidRPr="008F3602">
              <w:rPr>
                <w:rFonts w:ascii="Arial" w:hAnsi="Arial" w:cs="Arial"/>
                <w:color w:val="FF0000"/>
                <w:sz w:val="20"/>
                <w:szCs w:val="20"/>
              </w:rPr>
              <w:t>Tolj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mag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 oec.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D7C47" w:rsidRPr="00E31856" w:rsidTr="003774C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6E05DA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9D7C47" w:rsidRPr="00E31856" w:rsidTr="003774C4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Upoznati i analizirati monetarni sustav EU - politiku i instrumente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9D7C47" w:rsidRPr="00E31856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9D7C47" w:rsidRPr="008F3602" w:rsidRDefault="009D7C47" w:rsidP="00BA3DC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Ocijeniti ulogu monetarnog sustava EU u okviru financijskog sustava</w:t>
            </w:r>
          </w:p>
          <w:p w:rsidR="009D7C47" w:rsidRPr="008F3602" w:rsidRDefault="009D7C47" w:rsidP="003774C4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9D7C47" w:rsidRPr="008F3602" w:rsidRDefault="009D7C47" w:rsidP="003774C4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602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BA3DCE" w:rsidRPr="008F3602" w:rsidRDefault="00BA3DCE" w:rsidP="006E05D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602">
              <w:rPr>
                <w:rFonts w:ascii="Arial" w:eastAsia="Times New Roman" w:hAnsi="Arial" w:cs="Arial"/>
                <w:sz w:val="20"/>
                <w:szCs w:val="20"/>
              </w:rPr>
              <w:t>Ocijeniti razloge i učinke monetarne integracije te procijeniti iste u analizi procesa stvaranja EMU</w:t>
            </w:r>
            <w:r w:rsidR="006E05DA" w:rsidRPr="008F3602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:rsidR="009D7C47" w:rsidRPr="008F3602" w:rsidRDefault="00BA3DCE" w:rsidP="009D7C47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602">
              <w:rPr>
                <w:rFonts w:ascii="Arial" w:eastAsia="Times New Roman" w:hAnsi="Arial" w:cs="Arial"/>
                <w:sz w:val="20"/>
                <w:szCs w:val="20"/>
              </w:rPr>
              <w:t xml:space="preserve">Kritički procijeniti dosege teorije </w:t>
            </w:r>
            <w:r w:rsidR="009D7C47" w:rsidRPr="008F3602">
              <w:rPr>
                <w:rFonts w:ascii="Arial" w:eastAsia="Times New Roman" w:hAnsi="Arial" w:cs="Arial"/>
                <w:sz w:val="20"/>
                <w:szCs w:val="20"/>
              </w:rPr>
              <w:t xml:space="preserve">optimalnog valutnog područja </w:t>
            </w:r>
            <w:r w:rsidRPr="008F3602">
              <w:rPr>
                <w:rFonts w:ascii="Arial" w:eastAsia="Times New Roman" w:hAnsi="Arial" w:cs="Arial"/>
                <w:sz w:val="20"/>
                <w:szCs w:val="20"/>
              </w:rPr>
              <w:t>te analitički procijeniti kriterije iste na primjeru</w:t>
            </w:r>
            <w:r w:rsidR="009D7C47" w:rsidRPr="008F3602">
              <w:rPr>
                <w:rFonts w:ascii="Arial" w:eastAsia="Times New Roman" w:hAnsi="Arial" w:cs="Arial"/>
                <w:sz w:val="20"/>
                <w:szCs w:val="20"/>
              </w:rPr>
              <w:t xml:space="preserve"> EMU (6.razina).</w:t>
            </w:r>
          </w:p>
          <w:p w:rsidR="00BA3DCE" w:rsidRPr="008F3602" w:rsidRDefault="00BA3DCE" w:rsidP="00BA3DCE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602">
              <w:rPr>
                <w:rFonts w:ascii="Arial" w:eastAsia="Times New Roman" w:hAnsi="Arial" w:cs="Arial"/>
                <w:sz w:val="20"/>
                <w:szCs w:val="20"/>
              </w:rPr>
              <w:t>Preispitati institucionalnu strukturu EMU i analitički argumentirati  potrebu njene reforme (6.razina).</w:t>
            </w:r>
          </w:p>
          <w:p w:rsidR="009D7C47" w:rsidRPr="008F3602" w:rsidRDefault="00BA3DCE" w:rsidP="009D7C47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602">
              <w:rPr>
                <w:rFonts w:ascii="Arial" w:eastAsia="Times New Roman" w:hAnsi="Arial" w:cs="Arial"/>
                <w:sz w:val="20"/>
                <w:szCs w:val="20"/>
              </w:rPr>
              <w:t>Analitički ocijeniti međuodnos fiskalne i monetarne politike u EMU</w:t>
            </w:r>
            <w:r w:rsidR="009D7C47" w:rsidRPr="008F3602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:rsidR="009D7C47" w:rsidRPr="00BA3DCE" w:rsidRDefault="00BA3DCE" w:rsidP="00BA3DCE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602">
              <w:rPr>
                <w:rFonts w:ascii="Arial" w:eastAsia="Times New Roman" w:hAnsi="Arial" w:cs="Arial"/>
                <w:sz w:val="20"/>
                <w:szCs w:val="20"/>
              </w:rPr>
              <w:t xml:space="preserve">Argumentirati i vrednovati institucionalni okvir pristupanja </w:t>
            </w:r>
            <w:proofErr w:type="spellStart"/>
            <w:r w:rsidRPr="008F3602">
              <w:rPr>
                <w:rFonts w:ascii="Arial" w:eastAsia="Times New Roman" w:hAnsi="Arial" w:cs="Arial"/>
                <w:sz w:val="20"/>
                <w:szCs w:val="20"/>
              </w:rPr>
              <w:t>Eurozoni</w:t>
            </w:r>
            <w:proofErr w:type="spellEnd"/>
            <w:r w:rsidRPr="008F3602">
              <w:rPr>
                <w:rFonts w:ascii="Arial" w:eastAsia="Times New Roman" w:hAnsi="Arial" w:cs="Arial"/>
                <w:sz w:val="20"/>
                <w:szCs w:val="20"/>
              </w:rPr>
              <w:t xml:space="preserve"> te uloge tečajne politike </w:t>
            </w:r>
            <w:r w:rsidR="009D7C47" w:rsidRPr="008F3602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8F3602" w:rsidRPr="008F3602" w:rsidTr="003774C4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9D7C47" w:rsidRPr="008F3602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60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9D7C47" w:rsidRPr="008F3602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60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8F3602" w:rsidRPr="008F3602" w:rsidTr="003774C4">
              <w:tc>
                <w:tcPr>
                  <w:tcW w:w="2993" w:type="dxa"/>
                </w:tcPr>
                <w:p w:rsidR="009D7C47" w:rsidRPr="008F3602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60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9D7C47" w:rsidRPr="008F3602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9D7C47" w:rsidRPr="008F3602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60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9D7C47" w:rsidRPr="008F3602" w:rsidRDefault="009D7C47" w:rsidP="00377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Uvod: m</w:t>
                  </w:r>
                  <w:r w:rsidR="0096604F" w:rsidRPr="008F3602">
                    <w:rPr>
                      <w:rFonts w:ascii="Arial" w:hAnsi="Arial" w:cs="Arial"/>
                      <w:sz w:val="18"/>
                      <w:szCs w:val="18"/>
                    </w:rPr>
                    <w:t>onetarni i financijski sustav EU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Analiza sastavnica financijskog i </w:t>
                  </w:r>
                  <w:r w:rsidR="0096604F" w:rsidRPr="008F3602">
                    <w:rPr>
                      <w:rFonts w:ascii="Arial" w:hAnsi="Arial" w:cs="Arial"/>
                      <w:sz w:val="18"/>
                      <w:szCs w:val="18"/>
                    </w:rPr>
                    <w:t>m</w:t>
                  </w: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onetarnog sustava EU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9D7C47" w:rsidRPr="008F3602" w:rsidRDefault="006E494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Institucionalna analiza monetarne integracije u EU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Teorija optimalnog valutnog područja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Testiranje optimalnog valutnog područja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9D7C47" w:rsidRPr="008F3602" w:rsidRDefault="006E494A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bookmarkStart w:id="0" w:name="_GoBack" w:colFirst="0" w:colLast="0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Institucionalna struktura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Reforma odlučivanja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bookmarkEnd w:id="0"/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F06D57" w:rsidRPr="008F3602" w:rsidRDefault="00F06D57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Strategija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F06D57" w:rsidRPr="008F3602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06D57" w:rsidRPr="008F3602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Reforma strategije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F06D57" w:rsidRPr="008F3602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9D7C47" w:rsidRPr="008F3602" w:rsidRDefault="006E494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 2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Analiza likvidnosti monetarnog sustava EU – bilance monetarnih i financijskih institucija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Financijska tržišta i monetarna politika u EU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8F3602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Analiza financijske integracije u Europi po segmentima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8F3602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6E494A" w:rsidRPr="008F3602" w:rsidRDefault="00BA3DCE" w:rsidP="00BA3DC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Modelski pristup suodnosu monetarne i fiskalne politike</w:t>
                  </w:r>
                  <w:r w:rsidR="00F06D57"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 u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8F3602" w:rsidRDefault="00F06D57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Usklađivanje fiskalne i monetarne politike (studija slučaja), monetarna i fiskalna unija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6E494A" w:rsidRPr="008F3602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Bankovna unija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8F3602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Reforma regulacije bankovnog sustava u EU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6E494A" w:rsidRPr="008F3602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Euro kao rezervna svjetska valuta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8F3602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Analiza determinanti eura kao rezervne svjetske valute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6E494A" w:rsidRPr="008F3602" w:rsidRDefault="00F06D57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Proces pristupanja </w:t>
                  </w:r>
                  <w:proofErr w:type="spellStart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Eurozoni</w:t>
                  </w:r>
                  <w:proofErr w:type="spellEnd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8F3602" w:rsidRDefault="00F06D57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Analiza nominalnih kriterija konvergencije, odnos nominalnih i realnih kriterija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6E494A" w:rsidRPr="008F3602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Tečajna politika monetarne unije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96604F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8F3602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Tečajna politika prije ulaska u </w:t>
                  </w:r>
                  <w:proofErr w:type="spellStart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Eurozonu</w:t>
                  </w:r>
                  <w:proofErr w:type="spellEnd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 i u </w:t>
                  </w:r>
                  <w:proofErr w:type="spellStart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Eurozoni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:rsidR="006E494A" w:rsidRPr="008F3602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465828" w:rsidRPr="008F3602" w:rsidRDefault="00465828" w:rsidP="004A7B9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Antikrizni</w:t>
                  </w:r>
                  <w:proofErr w:type="spellEnd"/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 xml:space="preserve"> management u modelu monetarne unije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8F3602" w:rsidRDefault="00465828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65828" w:rsidRPr="008F3602" w:rsidRDefault="00465828" w:rsidP="0096604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Analiza instrumenata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8F3602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8F3602" w:rsidRPr="008F3602" w:rsidTr="003774C4">
              <w:tc>
                <w:tcPr>
                  <w:tcW w:w="2993" w:type="dxa"/>
                  <w:vAlign w:val="center"/>
                </w:tcPr>
                <w:p w:rsidR="00465828" w:rsidRPr="008F3602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8F3602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65828" w:rsidRPr="008F3602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8F3602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60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9D7C47" w:rsidRPr="008F3602" w:rsidRDefault="009D7C47" w:rsidP="003774C4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C47" w:rsidRPr="00E31856" w:rsidTr="003774C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D7C47" w:rsidRPr="008F3602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F3602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D7C47" w:rsidRPr="008F3602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8F36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46EC"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F46EC" w:rsidRPr="008F3602">
              <w:rPr>
                <w:rFonts w:ascii="Arial" w:hAnsi="Arial" w:cs="Arial"/>
                <w:sz w:val="20"/>
                <w:szCs w:val="20"/>
              </w:rPr>
            </w:r>
            <w:r w:rsidR="00EF46EC"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3602">
              <w:rPr>
                <w:rFonts w:ascii="Arial" w:hAnsi="Arial" w:cs="Arial"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t> </w:t>
            </w:r>
            <w:r w:rsidR="00EF46EC"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360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F36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F3602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D7C47" w:rsidRPr="00E31856" w:rsidTr="003774C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57630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Da bi ostvario pravo na potpis redovni student mora pohađati 70% ukupne nastave. Uz prisustvovanje, aktivno sudjelovanje u nastavi pretpostavlja i sudjelovanje u studijama slučajeva i interaktivnim raspravama.</w:t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3254F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3254F" w:rsidRPr="00E31856" w:rsidRDefault="00D3254F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3254F" w:rsidRPr="008F3602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3254F" w:rsidRPr="008F3602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3254F" w:rsidRPr="008F3602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3254F" w:rsidRPr="008F3602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D3254F" w:rsidRPr="008F3602" w:rsidRDefault="00D3254F" w:rsidP="004A7B9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254F" w:rsidRPr="008F3602" w:rsidRDefault="00D3254F" w:rsidP="004A7B9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D7C47" w:rsidRPr="008F3602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D7C47"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8F360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60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b/>
                <w:sz w:val="20"/>
                <w:szCs w:val="20"/>
              </w:rPr>
            </w:r>
            <w:r w:rsidRPr="008F360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9D7C47" w:rsidRPr="008F3602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D3254F" w:rsidRPr="008F3602" w:rsidRDefault="00D3254F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** Na pojedinim vježbama studenti rješavaju studije slučaja vezane uz predavanja, prema gore navedenom rasporedu.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 Kolokviji nose 60% od ukupne ocjene, seminarski radovi 30%, dok studije slučaja nose 10% od ukupne ocjene.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 xml:space="preserve">Bodovni pragovi i odgovarajuće ocjene </w:t>
            </w:r>
            <w:r w:rsidR="005D605C" w:rsidRPr="008F3602">
              <w:rPr>
                <w:rFonts w:ascii="Arial" w:hAnsi="Arial" w:cs="Arial"/>
                <w:sz w:val="20"/>
                <w:szCs w:val="20"/>
              </w:rPr>
              <w:t>kolegija</w:t>
            </w:r>
            <w:r w:rsidRPr="008F360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lastRenderedPageBreak/>
              <w:t>76-85    vrlo dobar (4)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- u prosjeku ostvario prolaznu ocjenu iz pisanih provjera znanja (minimalno 50% iz oba kolokvija ili iz pisanog završnog ispita),</w:t>
            </w: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- uspješno napisao i prezentirao seminarski rad,</w:t>
            </w: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- aktivno sudjelovao u studijama slučaja.</w:t>
            </w: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1) ukupno ostvarenih bodova na pisanim provjerama znanja umnožene s ponderom od 0.6,</w:t>
            </w: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2) ocjene ostvarene seminarskim radom umnožene s ponderom od 0.3  te</w:t>
            </w:r>
          </w:p>
          <w:p w:rsidR="0011137F" w:rsidRPr="008F3602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3) ukupno ostvarenih bodova iz studija slučaja umnoženih s ponderom 0.1.</w:t>
            </w:r>
          </w:p>
          <w:p w:rsidR="0011137F" w:rsidRPr="008F3602" w:rsidRDefault="0011137F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Ukoliko student ne zadovolji na pisanim provjerama dužan je polagati završni ispit. Završni ispit može biti organiziran na pisani i/ili usmeni način.</w:t>
            </w:r>
          </w:p>
        </w:tc>
      </w:tr>
      <w:tr w:rsidR="009D7C47" w:rsidRPr="00E31856" w:rsidTr="003774C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3602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3602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3602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7630D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630D" w:rsidRPr="00E31856" w:rsidRDefault="0057630D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630D" w:rsidRPr="008F3602" w:rsidRDefault="0057630D" w:rsidP="00BA49F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8F3602">
              <w:rPr>
                <w:rFonts w:ascii="Arial" w:hAnsi="Arial" w:cs="Arial"/>
                <w:noProof/>
                <w:sz w:val="18"/>
                <w:szCs w:val="18"/>
              </w:rPr>
              <w:t>Autorizirana predavanja i nastavni materijali na Moodle stranicama kolegija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630D" w:rsidRPr="008F3602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57630D" w:rsidRPr="008F3602" w:rsidRDefault="0057630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630D" w:rsidRPr="008F3602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602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9D7C47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8F3602" w:rsidRDefault="009D7C47" w:rsidP="003774C4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8F3602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C47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8F3602" w:rsidRDefault="00EF46EC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8F36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602">
              <w:rPr>
                <w:rFonts w:ascii="Arial" w:hAnsi="Arial" w:cs="Arial"/>
                <w:sz w:val="20"/>
                <w:szCs w:val="20"/>
              </w:rPr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8F360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6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8F3602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:rsidR="0057630D" w:rsidRPr="008F3602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F3602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De Grauwe, P.: Economics of Monetary Union, Oxford University Press, 2007.</w:t>
            </w:r>
          </w:p>
          <w:p w:rsidR="0057630D" w:rsidRPr="008F3602" w:rsidRDefault="0057630D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:rsidR="0057630D" w:rsidRPr="008F3602" w:rsidRDefault="0057630D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008F3602">
              <w:rPr>
                <w:rFonts w:ascii="Arial" w:hAnsi="Arial" w:cs="Arial"/>
                <w:i/>
                <w:sz w:val="20"/>
                <w:szCs w:val="20"/>
                <w:lang w:eastAsia="hr-HR"/>
              </w:rPr>
              <w:t xml:space="preserve">Članci: </w:t>
            </w:r>
          </w:p>
          <w:p w:rsidR="0057630D" w:rsidRPr="008F3602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57630D" w:rsidRPr="008F3602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Visković, J.: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Optimum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Currency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Area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and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Credibility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of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Maastricht</w:t>
            </w:r>
            <w:proofErr w:type="spellEnd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Criteria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Proceedings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of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the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6th International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Conference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of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the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School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of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Economics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Business Sarajevo 2012 “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Beyond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the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Economics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Crisis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Lessons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Learned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Challenges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Ahead</w:t>
            </w:r>
            <w:proofErr w:type="spellEnd"/>
            <w:r w:rsidRPr="008F3602">
              <w:rPr>
                <w:rFonts w:ascii="Arial" w:hAnsi="Arial" w:cs="Arial"/>
                <w:sz w:val="20"/>
                <w:szCs w:val="20"/>
                <w:lang w:eastAsia="hr-HR"/>
              </w:rPr>
              <w:t>“</w:t>
            </w:r>
          </w:p>
          <w:p w:rsidR="0057630D" w:rsidRPr="008F3602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Style w:val="binding"/>
                <w:rFonts w:ascii="Arial" w:hAnsi="Arial" w:cs="Arial"/>
                <w:sz w:val="20"/>
                <w:szCs w:val="20"/>
              </w:rPr>
            </w:pPr>
            <w:r w:rsidRPr="008F3602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:rsidR="0057630D" w:rsidRPr="008F3602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8F3602">
              <w:rPr>
                <w:rStyle w:val="binding"/>
                <w:rFonts w:ascii="Arial" w:hAnsi="Arial" w:cs="Arial"/>
                <w:sz w:val="20"/>
                <w:szCs w:val="20"/>
              </w:rPr>
              <w:t xml:space="preserve">ECB: </w:t>
            </w:r>
            <w:proofErr w:type="spellStart"/>
            <w:r w:rsidRPr="008F3602">
              <w:rPr>
                <w:rStyle w:val="binding"/>
                <w:rFonts w:ascii="Arial" w:hAnsi="Arial" w:cs="Arial"/>
                <w:sz w:val="20"/>
                <w:szCs w:val="20"/>
              </w:rPr>
              <w:t>Monetary</w:t>
            </w:r>
            <w:proofErr w:type="spellEnd"/>
            <w:r w:rsidRPr="008F3602">
              <w:rPr>
                <w:rStyle w:val="binding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602">
              <w:rPr>
                <w:rStyle w:val="binding"/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8F3602">
              <w:rPr>
                <w:rStyle w:val="binding"/>
                <w:rFonts w:ascii="Arial" w:hAnsi="Arial" w:cs="Arial"/>
                <w:sz w:val="20"/>
                <w:szCs w:val="20"/>
              </w:rPr>
              <w:t>, godišnje publikacije</w:t>
            </w:r>
          </w:p>
          <w:p w:rsidR="0057630D" w:rsidRPr="008F3602" w:rsidRDefault="0057630D" w:rsidP="0057630D">
            <w:pPr>
              <w:spacing w:after="0" w:line="288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3602">
              <w:rPr>
                <w:rFonts w:ascii="Arial" w:hAnsi="Arial" w:cs="Arial"/>
                <w:sz w:val="20"/>
                <w:szCs w:val="20"/>
                <w:lang w:val="en-GB"/>
              </w:rPr>
              <w:t>Eurostat</w:t>
            </w:r>
            <w:r w:rsidRPr="008F3602">
              <w:t xml:space="preserve"> (</w:t>
            </w:r>
            <w:hyperlink r:id="rId7" w:history="1">
              <w:r w:rsidRPr="008F3602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http://ec.europa.eu/eurostat</w:t>
              </w:r>
            </w:hyperlink>
            <w:r w:rsidRPr="008F3602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D7C47" w:rsidRPr="008F3602" w:rsidRDefault="009D7C47" w:rsidP="0057630D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EF46EC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D2093" w:rsidRDefault="005D2093"/>
    <w:p w:rsidR="0096604F" w:rsidRDefault="0096604F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850"/>
        <w:gridCol w:w="709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96604F" w:rsidRPr="00B241A4" w:rsidTr="00E63398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41A4">
              <w:rPr>
                <w:lang w:val="en-GB"/>
              </w:rPr>
              <w:br w:type="page"/>
            </w:r>
            <w:r w:rsidRPr="00B241A4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6604F" w:rsidRPr="00B241A4" w:rsidRDefault="0096604F" w:rsidP="00E6339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European monetary system</w:t>
            </w:r>
          </w:p>
        </w:tc>
      </w:tr>
      <w:tr w:rsidR="0096604F" w:rsidRPr="00B241A4" w:rsidTr="00E6339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Style w:val="Naglaeno"/>
                <w:rFonts w:ascii="Arial" w:hAnsi="Arial" w:cs="Arial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2BF8">
              <w:rPr>
                <w:rFonts w:ascii="Arial" w:hAnsi="Arial" w:cs="Arial"/>
                <w:sz w:val="20"/>
                <w:szCs w:val="20"/>
                <w:lang w:val="en-GB"/>
              </w:rPr>
              <w:t>EUE404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Mario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Pečarić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8F3602" w:rsidRDefault="008F3602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Roberto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Ercegovac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96604F" w:rsidRPr="00345BC6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BC6">
              <w:rPr>
                <w:rFonts w:ascii="Arial" w:hAnsi="Arial" w:cs="Arial"/>
                <w:sz w:val="20"/>
                <w:szCs w:val="20"/>
                <w:lang w:val="en-GB"/>
              </w:rPr>
              <w:t xml:space="preserve">Josip </w:t>
            </w:r>
            <w:proofErr w:type="spellStart"/>
            <w:r w:rsidRPr="00345BC6">
              <w:rPr>
                <w:rFonts w:ascii="Arial" w:hAnsi="Arial" w:cs="Arial"/>
                <w:sz w:val="20"/>
                <w:szCs w:val="20"/>
                <w:lang w:val="en-GB"/>
              </w:rPr>
              <w:t>Visković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96604F" w:rsidRPr="00B241A4" w:rsidTr="00E63398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345BC6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B21">
              <w:rPr>
                <w:rFonts w:ascii="Arial" w:hAnsi="Arial" w:cs="Arial"/>
                <w:sz w:val="20"/>
                <w:szCs w:val="20"/>
                <w:lang w:val="en-GB"/>
              </w:rPr>
              <w:t xml:space="preserve">Josip </w:t>
            </w:r>
            <w:proofErr w:type="spellStart"/>
            <w:r w:rsidRPr="00251B21">
              <w:rPr>
                <w:rFonts w:ascii="Arial" w:hAnsi="Arial" w:cs="Arial"/>
                <w:sz w:val="20"/>
                <w:szCs w:val="20"/>
                <w:lang w:val="en-GB"/>
              </w:rPr>
              <w:t>Visković</w:t>
            </w:r>
            <w:proofErr w:type="spellEnd"/>
            <w:r w:rsidRPr="00251B21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604F" w:rsidRPr="00B241A4" w:rsidRDefault="0096604F" w:rsidP="00E633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604F" w:rsidRPr="00B241A4" w:rsidRDefault="0096604F" w:rsidP="00E633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604F" w:rsidRPr="00B241A4" w:rsidRDefault="0096604F" w:rsidP="00E633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96604F" w:rsidRPr="00B241A4" w:rsidTr="00E63398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C92351" w:rsidRDefault="0096604F" w:rsidP="00E63398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837CAC">
              <w:rPr>
                <w:rFonts w:ascii="Arial" w:hAnsi="Arial" w:cs="Arial"/>
                <w:sz w:val="20"/>
                <w:szCs w:val="20"/>
                <w:lang w:val="en-GB"/>
              </w:rPr>
              <w:t>15%</w:t>
            </w:r>
          </w:p>
        </w:tc>
      </w:tr>
      <w:tr w:rsidR="0096604F" w:rsidRPr="00B241A4" w:rsidTr="00E6339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96604F" w:rsidRPr="00B241A4" w:rsidTr="00E6339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 xml:space="preserve">The aim of the course is to </w:t>
            </w:r>
            <w:r w:rsidRPr="00837CAC">
              <w:rPr>
                <w:rFonts w:ascii="Arial" w:hAnsi="Arial" w:cs="Arial"/>
                <w:sz w:val="20"/>
                <w:szCs w:val="20"/>
                <w:lang w:val="en-GB"/>
              </w:rPr>
              <w:t xml:space="preserve">introduce </w:t>
            </w: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and analyse the monetary system of EU policy and instruments</w:t>
            </w: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Knowledge of the basic concepts of finance (time value of money, opportunity cost, fundamentals of evaluation, capital structure, capital budgeting, types of exchange rate regimes and types of financial markets).</w:t>
            </w:r>
          </w:p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5459BF" w:rsidRDefault="0096604F" w:rsidP="00E63398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The course learning outcome: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Assess the role of the EU monetary system within the financial system</w:t>
            </w:r>
          </w:p>
          <w:p w:rsidR="0096604F" w:rsidRPr="005459BF" w:rsidRDefault="0096604F" w:rsidP="00E63398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6604F" w:rsidRPr="005459BF" w:rsidRDefault="0096604F" w:rsidP="00E63398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96604F" w:rsidRPr="005459BF" w:rsidRDefault="0096604F" w:rsidP="00E63398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1. Assess the reasons and the effects of monetary integration and evaluate them in the analysis of the EMU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foundation</w:t>
            </w: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 process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(Level 6</w:t>
            </w:r>
            <w:r w:rsidRPr="00837CAC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  <w:p w:rsidR="0096604F" w:rsidRPr="005459BF" w:rsidRDefault="0096604F" w:rsidP="00E63398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2. Critically evaluate the reaches of the theory of the optimal currency area and analytically evaluate the same criteria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 the context of</w:t>
            </w: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 EMU (6th) ex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ample (Level 6</w:t>
            </w:r>
            <w:r w:rsidRPr="00837CAC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  <w:p w:rsidR="0096604F" w:rsidRPr="005459BF" w:rsidRDefault="0096604F" w:rsidP="00E63398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3. Re-examine the institutional structure of the EMU and analytically argue the need for its reform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(Level 6</w:t>
            </w:r>
            <w:r w:rsidRPr="00837CAC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  <w:p w:rsidR="0096604F" w:rsidRPr="005459BF" w:rsidRDefault="0096604F" w:rsidP="00E63398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4. Analytically assess the relationship between fiscal and monetary policy in EMU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(Level 6</w:t>
            </w:r>
            <w:r w:rsidRPr="00837CAC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  <w:p w:rsidR="0096604F" w:rsidRPr="00B241A4" w:rsidRDefault="0096604F" w:rsidP="0011137F">
            <w:pPr>
              <w:spacing w:after="0"/>
              <w:ind w:left="21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5. Argue and evaluate the institutional framework for Eurozone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accession </w:t>
            </w: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and the role of the exchange rate policy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(Level 6</w:t>
            </w:r>
            <w:r w:rsidRPr="00837CAC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709"/>
              <w:gridCol w:w="3118"/>
              <w:gridCol w:w="709"/>
            </w:tblGrid>
            <w:tr w:rsidR="0096604F" w:rsidRPr="00B241A4" w:rsidTr="00E63398">
              <w:tc>
                <w:tcPr>
                  <w:tcW w:w="3612" w:type="dxa"/>
                  <w:gridSpan w:val="2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Exercises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Introduction: Monetary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and Financial System of the EU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pStyle w:val="Default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Analysis of the EU's financial and monetary system components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The Concept and Motives of Monetary Integration and the Process of Monetary Unification in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Europe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pStyle w:val="Default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Institutional analysis of monetary integration in the EU (case study)</w:t>
                  </w:r>
                </w:p>
                <w:p w:rsidR="0096604F" w:rsidRPr="005459BF" w:rsidRDefault="0096604F" w:rsidP="00E6339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Theory of optimal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currency area - model approach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pStyle w:val="Default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Testing the opt</w:t>
                  </w:r>
                  <w:r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imal currency area (case study)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Institutional structure of EMU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pStyle w:val="Default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Decision Reform - Model Approach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EMU Monetary Policy Strategy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pStyle w:val="Default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 xml:space="preserve">EMU </w:t>
                  </w:r>
                  <w:r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Monetary Policy Strategy Reform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proofErr w:type="spellStart"/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Eurosystem</w:t>
                  </w:r>
                  <w:proofErr w:type="spellEnd"/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monetary policy operational framework 1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pStyle w:val="Default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Design</w:t>
                  </w:r>
                  <w:r>
                    <w:rPr>
                      <w:rFonts w:ascii="Arial" w:hAnsi="Arial" w:cs="Arial"/>
                      <w:color w:val="auto"/>
                      <w:sz w:val="18"/>
                      <w:szCs w:val="18"/>
                      <w:lang w:val="en-GB"/>
                    </w:rPr>
                    <w:t>ing Monetary Policy Instruments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/>
                    </w:rPr>
                  </w:pPr>
                  <w:proofErr w:type="spellStart"/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Eurosystem</w:t>
                  </w:r>
                  <w:proofErr w:type="spellEnd"/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monetary policy operational framework 2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Analysis of liquidity of the monetary system of the EU - balance of monetary and financial institutions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Financial Market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 and Monetary Policy in the EU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Analysis of financial integration in Europe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Model approach to EMU monetary and fiscal policy relationship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Harmonization of fiscal and monetary policy (case study),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Monetary and Fiscal Union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Banking Union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Reform of banking system regulation in the EU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Euro as a reserve world currency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Analysis of the determinants of the euro as a reserve currency (case study)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Eurozone accession process - model approach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Analysis of nominal convergence criteria, relation of nominal and real criteria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Monetary Union exchange rate policy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Exchange rate policy before entering the Eurozone and in the Eurozone</w:t>
                  </w:r>
                </w:p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Anti-crisis management in the monetary union model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Analysis of Instruments (Case Study)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6604F" w:rsidRPr="00B241A4" w:rsidTr="00E63398">
              <w:tc>
                <w:tcPr>
                  <w:tcW w:w="2903" w:type="dxa"/>
                </w:tcPr>
                <w:p w:rsidR="0096604F" w:rsidRPr="005459BF" w:rsidRDefault="0096604F" w:rsidP="00E63398">
                  <w:pP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Review of material</w:t>
                  </w:r>
                </w:p>
              </w:tc>
              <w:tc>
                <w:tcPr>
                  <w:tcW w:w="709" w:type="dxa"/>
                </w:tcPr>
                <w:p w:rsidR="0096604F" w:rsidRPr="005459BF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6604F" w:rsidRPr="005459BF" w:rsidRDefault="0096604F" w:rsidP="00E63398">
                  <w:pP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5459B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Test 2</w:t>
                  </w:r>
                </w:p>
              </w:tc>
              <w:tc>
                <w:tcPr>
                  <w:tcW w:w="709" w:type="dxa"/>
                </w:tcPr>
                <w:p w:rsidR="0096604F" w:rsidRPr="00B241A4" w:rsidRDefault="0096604F" w:rsidP="00E633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96604F" w:rsidRPr="00B241A4" w:rsidRDefault="0096604F" w:rsidP="00E63398">
            <w:pPr>
              <w:tabs>
                <w:tab w:val="left" w:pos="64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604F" w:rsidRPr="00B241A4" w:rsidTr="00E63398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lang w:val="en-GB"/>
              </w:rPr>
              <w:lastRenderedPageBreak/>
              <w:br w:type="page"/>
            </w:r>
            <w:r w:rsidRPr="00B241A4">
              <w:rPr>
                <w:lang w:val="en-GB"/>
              </w:rPr>
              <w:br w:type="page"/>
            </w:r>
            <w:r w:rsidRPr="00B241A4">
              <w:rPr>
                <w:lang w:val="en-GB"/>
              </w:rPr>
              <w:br w:type="page"/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X lectures</w:t>
            </w:r>
          </w:p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X exercises  </w:t>
            </w:r>
          </w:p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B241A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X independent assignments</w:t>
            </w:r>
          </w:p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B241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B241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96604F" w:rsidRPr="00B241A4" w:rsidTr="00E63398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B241A4">
              <w:rPr>
                <w:rStyle w:val="Referencakomentara"/>
                <w:lang w:val="en-GB"/>
              </w:rPr>
              <w:t xml:space="preserve"> 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Regular class attendance (60% of lectures and exercises) and participation in independent assignments.</w:t>
            </w:r>
          </w:p>
        </w:tc>
      </w:tr>
      <w:tr w:rsidR="0096604F" w:rsidRPr="00B241A4" w:rsidTr="00E63398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B241A4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(name the proportion of 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ECTS</w:t>
            </w:r>
            <w:r w:rsidRPr="00B241A4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credits for each</w:t>
            </w:r>
            <w:r w:rsidRPr="00B241A4">
              <w:rPr>
                <w:rStyle w:val="Referencakomentara"/>
                <w:lang w:val="en-GB"/>
              </w:rPr>
              <w:t xml:space="preserve"> </w:t>
            </w:r>
            <w:r w:rsidRPr="00B241A4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547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</w:p>
        </w:tc>
      </w:tr>
      <w:tr w:rsidR="0096604F" w:rsidRPr="00B241A4" w:rsidTr="00E6339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7" w:type="dxa"/>
            <w:gridSpan w:val="2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assignment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**</w:t>
            </w:r>
          </w:p>
        </w:tc>
      </w:tr>
      <w:tr w:rsidR="0096604F" w:rsidRPr="00B241A4" w:rsidTr="00E6339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7" w:type="dxa"/>
            <w:gridSpan w:val="2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7" w:type="dxa"/>
            <w:gridSpan w:val="2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7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Two written tests replace final written exam.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* Two tests are alternative to final written exam.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**</w:t>
            </w:r>
            <w:r w:rsidRPr="00E77DDA">
              <w:t xml:space="preserve"> 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During exercises students work out case studies related to the lecture topic, according to the above schedule.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Written tests are weighted by 60%, seminar essays by 30% and individual assignments by10%.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1137F" w:rsidRDefault="0011137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The number of points (in %) corresponds to following grades: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0-50      insufficient (1)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51-65    sufficient (2)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66-75    good (3)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76-85    very good (4)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86-100  excellent (5)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The exam is deemed to be passed if the student has: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- achieved minimum of 50% on each test, or alternatively, minimum of 50% on final written exam;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- written and presented the results of seminar essay, and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- actively participated in case studies.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The final grade is formed as a sum of: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1) total points obtained on two written tests/final written test weighted by 0.6,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2) seminar essay weighted by 0.3.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3) total points obtained on case studies weighted by 0.1.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6604F" w:rsidRPr="00E77DDA" w:rsidRDefault="0011137F" w:rsidP="00E6339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37F">
              <w:rPr>
                <w:rFonts w:ascii="Arial" w:hAnsi="Arial" w:cs="Arial"/>
                <w:sz w:val="20"/>
                <w:szCs w:val="20"/>
                <w:lang w:val="en-GB"/>
              </w:rPr>
              <w:t>If a student does not meet the written tests, he or she is required to take the final exam, which can be organized as written or oral.</w:t>
            </w:r>
          </w:p>
        </w:tc>
      </w:tr>
      <w:tr w:rsidR="0096604F" w:rsidRPr="00B241A4" w:rsidTr="00E63398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604F" w:rsidRPr="00E77DDA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6604F" w:rsidRPr="00B241A4" w:rsidTr="00E6339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Authorized lectures and teaching materials on Moodle (script and lecture notes)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Moodle</w:t>
            </w:r>
          </w:p>
        </w:tc>
      </w:tr>
      <w:tr w:rsidR="0096604F" w:rsidRPr="00B241A4" w:rsidTr="00E6339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53271A" w:rsidRDefault="0096604F" w:rsidP="00E63398"/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53271A" w:rsidRDefault="0096604F" w:rsidP="00E63398"/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Default="0096604F" w:rsidP="00E63398"/>
        </w:tc>
      </w:tr>
      <w:tr w:rsidR="0096604F" w:rsidRPr="00B241A4" w:rsidTr="00E6339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6604F" w:rsidRPr="00B241A4" w:rsidTr="00E6339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i/>
                <w:sz w:val="20"/>
                <w:szCs w:val="20"/>
                <w:lang w:val="en-GB"/>
              </w:rPr>
              <w:t>Textbooks and books: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De </w:t>
            </w:r>
            <w:proofErr w:type="spellStart"/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Grauwe</w:t>
            </w:r>
            <w:proofErr w:type="spellEnd"/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, P.: Economics of Monetary Union, Oxford University Press, 2007.</w:t>
            </w:r>
          </w:p>
          <w:p w:rsidR="0096604F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Articles:</w:t>
            </w:r>
          </w:p>
          <w:p w:rsidR="0096604F" w:rsidRPr="005459BF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6604F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Visković</w:t>
            </w:r>
            <w:proofErr w:type="spellEnd"/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, J.: The Optimum Currency Area and the Credibility of Maastricht Criteria, Proceedings of the 6th International Conference of the School of Economics and Business Sarajevo 2012 “Beyond the Economics Crisis: Lessons Learned and Challenges Ahead“</w:t>
            </w:r>
          </w:p>
          <w:p w:rsidR="0096604F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6604F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Other sources: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6604F" w:rsidRPr="005459BF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 xml:space="preserve">ECB: Monetary policy,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Annual publications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59BF">
              <w:rPr>
                <w:rFonts w:ascii="Arial" w:hAnsi="Arial" w:cs="Arial"/>
                <w:sz w:val="20"/>
                <w:szCs w:val="20"/>
                <w:lang w:val="en-GB"/>
              </w:rPr>
              <w:t>Eurostat (http://ec.europa.eu/eurostat)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Eurostat (http://ec.europa.eu/eurostat)</w:t>
            </w:r>
          </w:p>
          <w:p w:rsidR="0096604F" w:rsidRPr="00E77DDA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World Bank (https://data.worldbank.org )</w:t>
            </w: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E77DDA" w:rsidRDefault="0096604F" w:rsidP="0096604F">
            <w:pPr>
              <w:numPr>
                <w:ilvl w:val="0"/>
                <w:numId w:val="7"/>
              </w:numPr>
              <w:tabs>
                <w:tab w:val="left" w:pos="356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Class attendance records and documentation about students’ results in fulfilling their obligations (lecturer)</w:t>
            </w:r>
          </w:p>
          <w:p w:rsidR="0096604F" w:rsidRPr="00E77DDA" w:rsidRDefault="0096604F" w:rsidP="0096604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 xml:space="preserve">Class management surveillance 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(Vice-dean for education).</w:t>
            </w:r>
          </w:p>
          <w:p w:rsidR="0096604F" w:rsidRPr="00E77DDA" w:rsidRDefault="0096604F" w:rsidP="0096604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 xml:space="preserve">Study efficacy analysis of all study courses 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(Vice-dean for education).</w:t>
            </w:r>
          </w:p>
          <w:p w:rsidR="0096604F" w:rsidRPr="00E77DDA" w:rsidRDefault="0096604F" w:rsidP="0096604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Student poll on lecturer and class efficacy for each study course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 xml:space="preserve"> (University of Split, </w:t>
            </w:r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 xml:space="preserve">Quality Improvement </w:t>
            </w:r>
            <w:proofErr w:type="spellStart"/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Center</w:t>
            </w:r>
            <w:proofErr w:type="spellEnd"/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6604F" w:rsidRPr="00E77DDA" w:rsidRDefault="0096604F" w:rsidP="0096604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 xml:space="preserve">All course learning outcomes are to be verified by the course teacher during the exam. Exam content is being validated on regular basis in order to </w:t>
            </w:r>
            <w:r w:rsidRPr="00E77DDA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lastRenderedPageBreak/>
              <w:t xml:space="preserve">evaluate the appropriateness of means of examining the learning outcomes </w:t>
            </w:r>
            <w:r w:rsidRPr="00E77DDA">
              <w:rPr>
                <w:rFonts w:ascii="Arial" w:hAnsi="Arial" w:cs="Arial"/>
                <w:sz w:val="20"/>
                <w:szCs w:val="20"/>
                <w:lang w:val="en-GB"/>
              </w:rPr>
              <w:t>(Vice-dean for education).</w:t>
            </w:r>
          </w:p>
        </w:tc>
      </w:tr>
      <w:tr w:rsidR="0096604F" w:rsidRPr="00B241A4" w:rsidTr="00E6339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6604F" w:rsidRPr="00B241A4" w:rsidRDefault="0096604F" w:rsidP="00E6339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6604F" w:rsidRPr="00B241A4" w:rsidRDefault="0096604F" w:rsidP="00E633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 Unicode MS" w:eastAsia="Arial Unicode MS" w:hAnsi="Arial Unicode MS" w:cs="Arial Unicode MS"/>
                <w:noProof/>
                <w:sz w:val="20"/>
                <w:szCs w:val="20"/>
                <w:lang w:val="en-GB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96604F" w:rsidRDefault="0096604F" w:rsidP="0011137F"/>
    <w:sectPr w:rsidR="0096604F" w:rsidSect="005D2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C7" w:rsidRDefault="005E37C7" w:rsidP="009D7C47">
      <w:pPr>
        <w:spacing w:after="0" w:line="240" w:lineRule="auto"/>
      </w:pPr>
      <w:r>
        <w:separator/>
      </w:r>
    </w:p>
  </w:endnote>
  <w:endnote w:type="continuationSeparator" w:id="0">
    <w:p w:rsidR="005E37C7" w:rsidRDefault="005E37C7" w:rsidP="009D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C7" w:rsidRDefault="005E37C7" w:rsidP="009D7C47">
      <w:pPr>
        <w:spacing w:after="0" w:line="240" w:lineRule="auto"/>
      </w:pPr>
      <w:r>
        <w:separator/>
      </w:r>
    </w:p>
  </w:footnote>
  <w:footnote w:type="continuationSeparator" w:id="0">
    <w:p w:rsidR="005E37C7" w:rsidRDefault="005E37C7" w:rsidP="009D7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65789"/>
    <w:multiLevelType w:val="hybridMultilevel"/>
    <w:tmpl w:val="9FEC87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D0893"/>
    <w:multiLevelType w:val="hybridMultilevel"/>
    <w:tmpl w:val="1C1A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C47"/>
    <w:rsid w:val="000612A5"/>
    <w:rsid w:val="0011137F"/>
    <w:rsid w:val="001A6D29"/>
    <w:rsid w:val="003A761D"/>
    <w:rsid w:val="003C3CB3"/>
    <w:rsid w:val="00465828"/>
    <w:rsid w:val="0048420D"/>
    <w:rsid w:val="004F15F8"/>
    <w:rsid w:val="0057630D"/>
    <w:rsid w:val="005D2093"/>
    <w:rsid w:val="005D605C"/>
    <w:rsid w:val="005E37C7"/>
    <w:rsid w:val="006E05DA"/>
    <w:rsid w:val="006E494A"/>
    <w:rsid w:val="008D5DD1"/>
    <w:rsid w:val="008E689C"/>
    <w:rsid w:val="008F3602"/>
    <w:rsid w:val="0096604F"/>
    <w:rsid w:val="009D7C47"/>
    <w:rsid w:val="00B20E20"/>
    <w:rsid w:val="00B30AFA"/>
    <w:rsid w:val="00B45C94"/>
    <w:rsid w:val="00BA3DCE"/>
    <w:rsid w:val="00C6629C"/>
    <w:rsid w:val="00C81017"/>
    <w:rsid w:val="00C854B4"/>
    <w:rsid w:val="00D012F5"/>
    <w:rsid w:val="00D163E9"/>
    <w:rsid w:val="00D3254F"/>
    <w:rsid w:val="00E8559E"/>
    <w:rsid w:val="00E948F5"/>
    <w:rsid w:val="00EF0CA1"/>
    <w:rsid w:val="00EF46EC"/>
    <w:rsid w:val="00F06D57"/>
    <w:rsid w:val="00FA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E6DF66-5482-4C71-B8DF-98F68A1B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4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7C47"/>
    <w:pPr>
      <w:ind w:left="720"/>
      <w:contextualSpacing/>
    </w:pPr>
  </w:style>
  <w:style w:type="paragraph" w:customStyle="1" w:styleId="FieldText">
    <w:name w:val="Field Text"/>
    <w:basedOn w:val="Normal"/>
    <w:rsid w:val="009D7C4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D7C47"/>
    <w:rPr>
      <w:rFonts w:cs="Times New Roman"/>
      <w:b/>
      <w:bCs/>
    </w:rPr>
  </w:style>
  <w:style w:type="character" w:styleId="Hiperveza">
    <w:name w:val="Hyperlink"/>
    <w:rsid w:val="009D7C47"/>
    <w:rPr>
      <w:color w:val="0000FF"/>
      <w:u w:val="single"/>
    </w:rPr>
  </w:style>
  <w:style w:type="character" w:customStyle="1" w:styleId="ptbrand">
    <w:name w:val="ptbrand"/>
    <w:rsid w:val="009D7C47"/>
  </w:style>
  <w:style w:type="character" w:customStyle="1" w:styleId="binding">
    <w:name w:val="binding"/>
    <w:rsid w:val="009D7C47"/>
  </w:style>
  <w:style w:type="paragraph" w:styleId="Zaglavlje">
    <w:name w:val="header"/>
    <w:basedOn w:val="Normal"/>
    <w:link w:val="ZaglavljeChar"/>
    <w:uiPriority w:val="99"/>
    <w:semiHidden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D7C4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D7C47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semiHidden/>
    <w:rsid w:val="0096604F"/>
    <w:rPr>
      <w:rFonts w:cs="Times New Roman"/>
      <w:sz w:val="16"/>
      <w:szCs w:val="16"/>
    </w:rPr>
  </w:style>
  <w:style w:type="paragraph" w:customStyle="1" w:styleId="Default">
    <w:name w:val="Default"/>
    <w:rsid w:val="00966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c.europa.eu/eurost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2144</Words>
  <Characters>12224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2017-07-06T14:24:00Z</cp:lastPrinted>
  <dcterms:created xsi:type="dcterms:W3CDTF">2019-10-21T11:09:00Z</dcterms:created>
  <dcterms:modified xsi:type="dcterms:W3CDTF">2019-10-21T12:00:00Z</dcterms:modified>
</cp:coreProperties>
</file>